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✅ Чеклист за търговци – Въвеждане на еврото</w:t>
      </w:r>
    </w:p>
    <w:p>
      <w:pPr>
        <w:pStyle w:val="Heading1"/>
      </w:pPr>
      <w:r>
        <w:t>До 08.10.2025 (гратисен период)</w:t>
      </w:r>
    </w:p>
    <w:p>
      <w:r>
        <w:t>☐ Двойно обозначаване на цените (BGN + EUR)</w:t>
      </w:r>
    </w:p>
    <w:p>
      <w:r>
        <w:t>☐ Прилагане на изключенията по чл. 15 ЗВЕРБ</w:t>
      </w:r>
    </w:p>
    <w:p>
      <w:r>
        <w:t>☐ Спазване на чл. 16 – четливо изписване, промоции, онлайн, реклами</w:t>
      </w:r>
    </w:p>
    <w:p>
      <w:r>
        <w:t>☐ Фискални бонове: крайна сума в EUR + BGN + курс</w:t>
      </w:r>
    </w:p>
    <w:p>
      <w:r>
        <w:t>☐ Сайт/етикети/меню актуализирани</w:t>
      </w:r>
    </w:p>
    <w:p>
      <w:r>
        <w:t>☐ Обучение на персонала</w:t>
      </w:r>
    </w:p>
    <w:p>
      <w:r>
        <w:t>☐ Големи търговци (&gt;10 млн. лв. оборот): ежедневно публикуване на цени</w:t>
      </w:r>
    </w:p>
    <w:p>
      <w:pPr>
        <w:pStyle w:val="Heading1"/>
      </w:pPr>
      <w:r>
        <w:t>До 31.12.2025</w:t>
      </w:r>
    </w:p>
    <w:p>
      <w:r>
        <w:t>☐ ФУ/ERP софтуер актуализиран по Н-18</w:t>
      </w:r>
    </w:p>
    <w:p>
      <w:r>
        <w:t>☐ Договор с банка за предварително снабдяване с евро</w:t>
      </w:r>
    </w:p>
    <w:p>
      <w:r>
        <w:t>☐ Заявка за стартови пакети евро (от 01.12.2025)</w:t>
      </w:r>
    </w:p>
    <w:p>
      <w:r>
        <w:t>☐ Договори/ценови листи адаптирани</w:t>
      </w:r>
    </w:p>
    <w:p>
      <w:r>
        <w:t>☐ Проверка на онлайн магазина (кошница/фактури)</w:t>
      </w:r>
    </w:p>
    <w:p>
      <w:pPr>
        <w:pStyle w:val="Heading1"/>
      </w:pPr>
      <w:r>
        <w:t>01–31.01.2026 (двойно обращение)</w:t>
      </w:r>
    </w:p>
    <w:p>
      <w:r>
        <w:t>☐ Приемате плащания и в левове, и в евро</w:t>
      </w:r>
    </w:p>
    <w:p>
      <w:r>
        <w:t>☐ Ресто задължително в евро (освен при липса на наличност)</w:t>
      </w:r>
    </w:p>
    <w:p>
      <w:r>
        <w:t>☐ Отказ на &gt;50 монети в левове на една транзакция</w:t>
      </w:r>
    </w:p>
    <w:p>
      <w:r>
        <w:t>☐ Връщания/рекламации – в евро</w:t>
      </w:r>
    </w:p>
    <w:p>
      <w:r>
        <w:t>☐ Бонове – крайна сума в EUR + BGN + курс</w:t>
      </w:r>
    </w:p>
    <w:p>
      <w:pPr>
        <w:pStyle w:val="Heading1"/>
      </w:pPr>
      <w:r>
        <w:t>От 01.02.2026</w:t>
      </w:r>
    </w:p>
    <w:p>
      <w:r>
        <w:t>☐ Приемате само евро в брой</w:t>
      </w:r>
    </w:p>
    <w:p>
      <w:r>
        <w:t>☐ Всички продажби и счетоводство – в евро</w:t>
      </w:r>
    </w:p>
    <w:p>
      <w:r>
        <w:t>☐ Двойно обозначаване на цените продължава</w:t>
      </w:r>
    </w:p>
    <w:p>
      <w:pPr>
        <w:pStyle w:val="Heading1"/>
      </w:pPr>
      <w:r>
        <w:t>До 08.08.2026</w:t>
      </w:r>
    </w:p>
    <w:p>
      <w:r>
        <w:t>☐ Поддържате двойно обозначаване на цените (вкл. онлайн)</w:t>
      </w:r>
    </w:p>
    <w:p>
      <w:r>
        <w:t>☐ След тази дата – само в евро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