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📘 Наръчник за търговци – Въвеждане на еврото в България</w:t>
      </w:r>
    </w:p>
    <w:p>
      <w:r>
        <w:t>Този наръчник има за цел да помогне на търговците да се подготвят за въвеждането на еврото като официална валута в България от 1 януари 2026 г. Той съдържа информация за основните стъпки, задължения и срокове, както и за санкциите при неспазване на правилата.</w:t>
      </w:r>
    </w:p>
    <w:p>
      <w:pPr>
        <w:pStyle w:val="Heading1"/>
      </w:pPr>
      <w:r>
        <w:t>1) Основни дати</w:t>
      </w:r>
    </w:p>
    <w:p>
      <w:r>
        <w:t>• 08.08.2025 – 08.08.2026: Двойно обозначаване на цените (BGN + EUR).</w:t>
      </w:r>
    </w:p>
    <w:p>
      <w:r>
        <w:t>• 01–31.01.2026: Двойно обращение на лев и евро.</w:t>
      </w:r>
    </w:p>
    <w:p>
      <w:r>
        <w:t>• От 01.01.2026: Всички продажби и счетоводство се отчитат в евро.</w:t>
      </w:r>
    </w:p>
    <w:p>
      <w:r>
        <w:t>• От 09.08.2026: Цените се показват само в евро.</w:t>
      </w:r>
    </w:p>
    <w:p>
      <w:pPr>
        <w:pStyle w:val="Heading1"/>
      </w:pPr>
      <w:r>
        <w:t>2) Двойно обозначаване на цените</w:t>
      </w:r>
    </w:p>
    <w:p>
      <w:r>
        <w:t>• Всички цени трябва да бъдат изписани едновременно в лева и евро.</w:t>
      </w:r>
    </w:p>
    <w:p>
      <w:r>
        <w:t>• Изключения по чл. 15 ЗВЕРБ: тотеми на бензиностанции, автомати без техническа възможност, билети/карти за превоз, хартиени книги и учебници, софтуер с несъразмерни разходи.</w:t>
      </w:r>
    </w:p>
    <w:p>
      <w:r>
        <w:t>• Изисквания по чл. 16 ЗВЕРБ: цените са ясни и лесни за сравнение, при промоции – и старата, и новата цена в двете валути, онлайн и реклама – задължително двойно обозначаване.</w:t>
      </w:r>
    </w:p>
    <w:p>
      <w:pPr>
        <w:pStyle w:val="Heading1"/>
      </w:pPr>
      <w:r>
        <w:t>3) Фискални бонове и отчетност</w:t>
      </w:r>
    </w:p>
    <w:p>
      <w:r>
        <w:t>• През периода на двойно обозначаване: боновете показват крайна сума в EUR и BGN + курс.</w:t>
      </w:r>
    </w:p>
    <w:p>
      <w:r>
        <w:t>• От 01.01.2026: всички продажби се регистрират и отчитат в евро и евроцентове.</w:t>
      </w:r>
    </w:p>
    <w:p>
      <w:pPr>
        <w:pStyle w:val="Heading1"/>
      </w:pPr>
      <w:r>
        <w:t>4) Плащания в брой (01–31.01.2026)</w:t>
      </w:r>
    </w:p>
    <w:p>
      <w:r>
        <w:t>• Приемате левове и евро.</w:t>
      </w:r>
    </w:p>
    <w:p>
      <w:r>
        <w:t>• Ресто задължително в евро (освен при липса на наличност).</w:t>
      </w:r>
    </w:p>
    <w:p>
      <w:r>
        <w:t>• Може да се откажат &gt;50 монети в левове на една транзакция.</w:t>
      </w:r>
    </w:p>
    <w:p>
      <w:pPr>
        <w:pStyle w:val="Heading1"/>
      </w:pPr>
      <w:r>
        <w:t>5) Превалутиране и закръгляване</w:t>
      </w:r>
    </w:p>
    <w:p>
      <w:r>
        <w:t>• Превалутиране по пълния курс 1.95583.</w:t>
      </w:r>
    </w:p>
    <w:p>
      <w:r>
        <w:t>• Закръгляне до втория знак.</w:t>
      </w:r>
    </w:p>
    <w:p>
      <w:r>
        <w:t>• Пример: 19.99 лв → 10.22 €.</w:t>
      </w:r>
    </w:p>
    <w:p>
      <w:pPr>
        <w:pStyle w:val="Heading1"/>
      </w:pPr>
      <w:r>
        <w:t>6) Стартови пакети за бизнеса</w:t>
      </w:r>
    </w:p>
    <w:p>
      <w:r>
        <w:t>• От 1 декември 2025 г. банките предлагат стартови пакети евро на търговците.</w:t>
      </w:r>
    </w:p>
    <w:p>
      <w:r>
        <w:t>• Пакетите съдържат евромонети с различни номинали за ресто.</w:t>
      </w:r>
    </w:p>
    <w:p>
      <w:r>
        <w:t>• Получават се предварително, но се използват само от 01.01.2026.</w:t>
      </w:r>
    </w:p>
    <w:p>
      <w:r>
        <w:t>• Заявяват се в обслужваща банка и се плащат по фиксирания курс.</w:t>
      </w:r>
    </w:p>
    <w:p>
      <w:pPr>
        <w:pStyle w:val="Heading1"/>
      </w:pPr>
      <w:r>
        <w:t>7) Санкции и контрол</w:t>
      </w:r>
    </w:p>
    <w:p>
      <w:r>
        <w:t>• Липсва двойно обозначаване: 400–5 000 лв. (ФЛ), 700–50 000 лв. (ЮЛ/ЕТ).</w:t>
      </w:r>
    </w:p>
    <w:p>
      <w:r>
        <w:t>• Нарушения при боновете: 50–200 лв.</w:t>
      </w:r>
    </w:p>
    <w:p>
      <w:r>
        <w:t>• Големи търговци без публикуване на цени: до 1% от оборота (макс. 1 млн. лв.), при повторност – 2% (макс. 2 млн. лв.).</w:t>
      </w:r>
    </w:p>
    <w:p>
      <w:r>
        <w:t>• До 08.10.2025: част от нарушенията се санкционират само с писмено предупреждение.</w:t>
      </w:r>
    </w:p>
    <w:p>
      <w:pPr>
        <w:pStyle w:val="Heading1"/>
      </w:pPr>
      <w:r>
        <w:t>📌 Източници</w:t>
      </w:r>
    </w:p>
    <w:p>
      <w:r>
        <w:t>• Съвет на ЕС (08.07.2025) – фиксиран курс 1 EUR = 1.95583 BGN</w:t>
      </w:r>
    </w:p>
    <w:p>
      <w:r>
        <w:t>• Закон за въвеждане на еврото (изм. ДВ бр. 65/08.08.2025) – чл. 15, чл. 16, санкции</w:t>
      </w:r>
    </w:p>
    <w:p>
      <w:r>
        <w:t>• БНБ / evroto.bg – информация за двойно обращение и стартови пакети</w:t>
      </w:r>
    </w:p>
    <w:p>
      <w:r>
        <w:t>• НАП – указания за фискални бонове и отчетност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